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5" w:rsidRDefault="009E1744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BTV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503DD6">
        <w:rPr>
          <w:rFonts w:ascii="Arial" w:hAnsi="Arial" w:cs="Arial"/>
          <w:b/>
          <w:sz w:val="20"/>
          <w:szCs w:val="20"/>
        </w:rPr>
        <w:t xml:space="preserve">Board resolution </w:t>
      </w:r>
      <w:bookmarkStart w:id="0" w:name="_GoBack"/>
      <w:bookmarkEnd w:id="0"/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32EC5">
        <w:rPr>
          <w:rFonts w:ascii="Arial" w:hAnsi="Arial" w:cs="Arial"/>
          <w:sz w:val="20"/>
          <w:szCs w:val="20"/>
        </w:rPr>
        <w:t>26 Feb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9E1744" w:rsidRPr="009E1744">
        <w:rPr>
          <w:rFonts w:ascii="Arial" w:hAnsi="Arial" w:cs="Arial"/>
          <w:sz w:val="20"/>
          <w:szCs w:val="20"/>
        </w:rPr>
        <w:t xml:space="preserve">Ben </w:t>
      </w:r>
      <w:proofErr w:type="spellStart"/>
      <w:r w:rsidR="009E1744" w:rsidRPr="009E1744">
        <w:rPr>
          <w:rFonts w:ascii="Arial" w:hAnsi="Arial" w:cs="Arial"/>
          <w:sz w:val="20"/>
          <w:szCs w:val="20"/>
        </w:rPr>
        <w:t>Thanh</w:t>
      </w:r>
      <w:proofErr w:type="spellEnd"/>
      <w:r w:rsidR="009E1744" w:rsidRPr="009E1744">
        <w:rPr>
          <w:rFonts w:ascii="Arial" w:hAnsi="Arial" w:cs="Arial"/>
          <w:sz w:val="20"/>
          <w:szCs w:val="20"/>
        </w:rPr>
        <w:t xml:space="preserve"> Tourist Service Corporation</w:t>
      </w:r>
      <w:r w:rsidR="002E7FD0">
        <w:rPr>
          <w:rFonts w:ascii="Arial" w:hAnsi="Arial" w:cs="Arial"/>
          <w:sz w:val="20"/>
          <w:szCs w:val="20"/>
        </w:rPr>
        <w:t xml:space="preserve"> announced the Board</w:t>
      </w:r>
      <w:r w:rsidR="00467BC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FD4001" w:rsidRDefault="009E1744" w:rsidP="00F903A5">
      <w:pPr>
        <w:jc w:val="both"/>
        <w:rPr>
          <w:rFonts w:ascii="Arial" w:hAnsi="Arial" w:cs="Arial"/>
          <w:sz w:val="20"/>
          <w:szCs w:val="20"/>
        </w:rPr>
      </w:pPr>
      <w:r w:rsidRPr="009E1744">
        <w:rPr>
          <w:rFonts w:ascii="Arial" w:hAnsi="Arial" w:cs="Arial"/>
          <w:sz w:val="20"/>
          <w:szCs w:val="20"/>
        </w:rPr>
        <w:t xml:space="preserve">Article 1: </w:t>
      </w:r>
      <w:r>
        <w:rPr>
          <w:rFonts w:ascii="Arial" w:hAnsi="Arial" w:cs="Arial"/>
          <w:sz w:val="20"/>
          <w:szCs w:val="20"/>
        </w:rPr>
        <w:t>Approve</w:t>
      </w:r>
      <w:r w:rsidRPr="009E1744">
        <w:rPr>
          <w:rFonts w:ascii="Arial" w:hAnsi="Arial" w:cs="Arial"/>
          <w:sz w:val="20"/>
          <w:szCs w:val="20"/>
        </w:rPr>
        <w:t xml:space="preserve"> the r</w:t>
      </w:r>
      <w:r>
        <w:rPr>
          <w:rFonts w:ascii="Arial" w:hAnsi="Arial" w:cs="Arial"/>
          <w:sz w:val="20"/>
          <w:szCs w:val="20"/>
        </w:rPr>
        <w:t>epurchase of shares of shareholders</w:t>
      </w:r>
      <w:r w:rsidRPr="009E1744">
        <w:rPr>
          <w:rFonts w:ascii="Arial" w:hAnsi="Arial" w:cs="Arial"/>
          <w:sz w:val="20"/>
          <w:szCs w:val="20"/>
        </w:rPr>
        <w:t xml:space="preserve"> who are employees of Ben </w:t>
      </w:r>
      <w:proofErr w:type="spellStart"/>
      <w:r w:rsidRPr="009E1744">
        <w:rPr>
          <w:rFonts w:ascii="Arial" w:hAnsi="Arial" w:cs="Arial"/>
          <w:sz w:val="20"/>
          <w:szCs w:val="20"/>
        </w:rPr>
        <w:t>Thanh</w:t>
      </w:r>
      <w:proofErr w:type="spellEnd"/>
      <w:r w:rsidRPr="009E1744">
        <w:rPr>
          <w:rFonts w:ascii="Arial" w:hAnsi="Arial" w:cs="Arial"/>
          <w:sz w:val="20"/>
          <w:szCs w:val="20"/>
        </w:rPr>
        <w:t xml:space="preserve"> Tourist Service Joint Stock Company</w:t>
      </w:r>
      <w:r w:rsidR="00FD4001">
        <w:rPr>
          <w:rFonts w:ascii="Arial" w:hAnsi="Arial" w:cs="Arial"/>
          <w:sz w:val="20"/>
          <w:szCs w:val="20"/>
        </w:rPr>
        <w:t xml:space="preserve"> and</w:t>
      </w:r>
      <w:r w:rsidRPr="009E1744">
        <w:rPr>
          <w:rFonts w:ascii="Arial" w:hAnsi="Arial" w:cs="Arial"/>
          <w:sz w:val="20"/>
          <w:szCs w:val="20"/>
        </w:rPr>
        <w:t xml:space="preserve"> whose shares </w:t>
      </w:r>
      <w:r w:rsidR="00FD4001">
        <w:rPr>
          <w:rFonts w:ascii="Arial" w:hAnsi="Arial" w:cs="Arial"/>
          <w:sz w:val="20"/>
          <w:szCs w:val="20"/>
        </w:rPr>
        <w:t>are restricted from transfer;</w:t>
      </w:r>
      <w:r w:rsidRPr="009E1744">
        <w:rPr>
          <w:rFonts w:ascii="Arial" w:hAnsi="Arial" w:cs="Arial"/>
          <w:sz w:val="20"/>
          <w:szCs w:val="20"/>
        </w:rPr>
        <w:t xml:space="preserve"> resale </w:t>
      </w:r>
      <w:r w:rsidR="00FD4001">
        <w:rPr>
          <w:rFonts w:ascii="Arial" w:hAnsi="Arial" w:cs="Arial"/>
          <w:sz w:val="20"/>
          <w:szCs w:val="20"/>
        </w:rPr>
        <w:t>due to termination of employment</w:t>
      </w:r>
      <w:r w:rsidRPr="009E1744">
        <w:rPr>
          <w:rFonts w:ascii="Arial" w:hAnsi="Arial" w:cs="Arial"/>
          <w:sz w:val="20"/>
          <w:szCs w:val="20"/>
        </w:rPr>
        <w:t xml:space="preserve"> cont</w:t>
      </w:r>
      <w:r w:rsidR="00FD4001">
        <w:rPr>
          <w:rFonts w:ascii="Arial" w:hAnsi="Arial" w:cs="Arial"/>
          <w:sz w:val="20"/>
          <w:szCs w:val="20"/>
        </w:rPr>
        <w:t>racts before the committed term</w:t>
      </w:r>
      <w:r w:rsidRPr="009E1744">
        <w:rPr>
          <w:rFonts w:ascii="Arial" w:hAnsi="Arial" w:cs="Arial"/>
          <w:sz w:val="20"/>
          <w:szCs w:val="20"/>
        </w:rPr>
        <w:t xml:space="preserve"> to convert into treasury shares of the Company as follows: </w:t>
      </w:r>
    </w:p>
    <w:p w:rsidR="00FD4001" w:rsidRDefault="009E1744" w:rsidP="00F903A5">
      <w:pPr>
        <w:jc w:val="both"/>
        <w:rPr>
          <w:rFonts w:ascii="Arial" w:hAnsi="Arial" w:cs="Arial"/>
          <w:sz w:val="20"/>
          <w:szCs w:val="20"/>
        </w:rPr>
      </w:pPr>
      <w:r w:rsidRPr="009E1744">
        <w:rPr>
          <w:rFonts w:ascii="Arial" w:hAnsi="Arial" w:cs="Arial"/>
          <w:sz w:val="20"/>
          <w:szCs w:val="20"/>
        </w:rPr>
        <w:t>- Total number of share</w:t>
      </w:r>
      <w:r w:rsidR="00FD4001">
        <w:rPr>
          <w:rFonts w:ascii="Arial" w:hAnsi="Arial" w:cs="Arial"/>
          <w:sz w:val="20"/>
          <w:szCs w:val="20"/>
        </w:rPr>
        <w:t>s registered to repurchase: 8,000 shares</w:t>
      </w:r>
    </w:p>
    <w:p w:rsidR="00F86F7A" w:rsidRDefault="00FD4001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E1744" w:rsidRPr="009E1744">
        <w:rPr>
          <w:rFonts w:ascii="Arial" w:hAnsi="Arial" w:cs="Arial"/>
          <w:sz w:val="20"/>
          <w:szCs w:val="20"/>
        </w:rPr>
        <w:t>Purpose of repurchasing stocks</w:t>
      </w:r>
      <w:r>
        <w:rPr>
          <w:rFonts w:ascii="Arial" w:hAnsi="Arial" w:cs="Arial"/>
          <w:sz w:val="20"/>
          <w:szCs w:val="20"/>
        </w:rPr>
        <w:t>:</w:t>
      </w:r>
      <w:r w:rsidR="009E1744" w:rsidRPr="009E1744">
        <w:rPr>
          <w:rFonts w:ascii="Arial" w:hAnsi="Arial" w:cs="Arial"/>
          <w:sz w:val="20"/>
          <w:szCs w:val="20"/>
        </w:rPr>
        <w:t xml:space="preserve"> The company repurchases shares restricted from transfer of </w:t>
      </w:r>
      <w:r>
        <w:rPr>
          <w:rFonts w:ascii="Arial" w:hAnsi="Arial" w:cs="Arial"/>
          <w:sz w:val="20"/>
          <w:szCs w:val="20"/>
        </w:rPr>
        <w:t>employees</w:t>
      </w:r>
      <w:r w:rsidR="009E1744" w:rsidRPr="009E1744">
        <w:rPr>
          <w:rFonts w:ascii="Arial" w:hAnsi="Arial" w:cs="Arial"/>
          <w:sz w:val="20"/>
          <w:szCs w:val="20"/>
        </w:rPr>
        <w:t xml:space="preserve"> who are entitled to purchase shares during the </w:t>
      </w:r>
      <w:r>
        <w:rPr>
          <w:rFonts w:ascii="Arial" w:hAnsi="Arial" w:cs="Arial"/>
          <w:sz w:val="20"/>
          <w:szCs w:val="20"/>
        </w:rPr>
        <w:t>capitalization (pursuant to Decision No. 5288</w:t>
      </w:r>
      <w:r w:rsidR="009E1744" w:rsidRPr="009E1744">
        <w:rPr>
          <w:rFonts w:ascii="Arial" w:hAnsi="Arial" w:cs="Arial"/>
          <w:sz w:val="20"/>
          <w:szCs w:val="20"/>
        </w:rPr>
        <w:t>/ QD - UBND dated October 27</w:t>
      </w:r>
      <w:r>
        <w:rPr>
          <w:rFonts w:ascii="Arial" w:hAnsi="Arial" w:cs="Arial"/>
          <w:sz w:val="20"/>
          <w:szCs w:val="20"/>
        </w:rPr>
        <w:t>, 2014 of People's Committee of</w:t>
      </w:r>
      <w:r w:rsidR="009E1744" w:rsidRPr="009E1744">
        <w:rPr>
          <w:rFonts w:ascii="Arial" w:hAnsi="Arial" w:cs="Arial"/>
          <w:sz w:val="20"/>
          <w:szCs w:val="20"/>
        </w:rPr>
        <w:t xml:space="preserve"> Ho Chi Minh City </w:t>
      </w:r>
      <w:r>
        <w:rPr>
          <w:rFonts w:ascii="Arial" w:hAnsi="Arial" w:cs="Arial"/>
          <w:sz w:val="20"/>
          <w:szCs w:val="20"/>
        </w:rPr>
        <w:t xml:space="preserve">on approving the plan on transforming Ben </w:t>
      </w:r>
      <w:proofErr w:type="spellStart"/>
      <w:r>
        <w:rPr>
          <w:rFonts w:ascii="Arial" w:hAnsi="Arial" w:cs="Arial"/>
          <w:sz w:val="20"/>
          <w:szCs w:val="20"/>
        </w:rPr>
        <w:t>Thanh</w:t>
      </w:r>
      <w:proofErr w:type="spellEnd"/>
      <w:r>
        <w:rPr>
          <w:rFonts w:ascii="Arial" w:hAnsi="Arial" w:cs="Arial"/>
          <w:sz w:val="20"/>
          <w:szCs w:val="20"/>
        </w:rPr>
        <w:t xml:space="preserve"> Tourist Service</w:t>
      </w:r>
      <w:r w:rsidR="009E1744" w:rsidRPr="009E1744">
        <w:rPr>
          <w:rFonts w:ascii="Arial" w:hAnsi="Arial" w:cs="Arial"/>
          <w:sz w:val="20"/>
          <w:szCs w:val="20"/>
        </w:rPr>
        <w:t xml:space="preserve"> One Member </w:t>
      </w:r>
      <w:r w:rsidR="00F86F7A">
        <w:rPr>
          <w:rFonts w:ascii="Arial" w:hAnsi="Arial" w:cs="Arial"/>
          <w:sz w:val="20"/>
          <w:szCs w:val="20"/>
        </w:rPr>
        <w:t>Co., Ltd</w:t>
      </w:r>
      <w:r w:rsidR="009E1744" w:rsidRPr="009E1744">
        <w:rPr>
          <w:rFonts w:ascii="Arial" w:hAnsi="Arial" w:cs="Arial"/>
          <w:sz w:val="20"/>
          <w:szCs w:val="20"/>
        </w:rPr>
        <w:t xml:space="preserve"> of Ben </w:t>
      </w:r>
      <w:proofErr w:type="spellStart"/>
      <w:r w:rsidR="009E1744" w:rsidRPr="009E1744">
        <w:rPr>
          <w:rFonts w:ascii="Arial" w:hAnsi="Arial" w:cs="Arial"/>
          <w:sz w:val="20"/>
          <w:szCs w:val="20"/>
        </w:rPr>
        <w:t>Thanh</w:t>
      </w:r>
      <w:proofErr w:type="spellEnd"/>
      <w:r w:rsidR="009E1744" w:rsidRPr="009E1744">
        <w:rPr>
          <w:rFonts w:ascii="Arial" w:hAnsi="Arial" w:cs="Arial"/>
          <w:sz w:val="20"/>
          <w:szCs w:val="20"/>
        </w:rPr>
        <w:t xml:space="preserve"> Corporation - one </w:t>
      </w:r>
      <w:r w:rsidR="00F86F7A">
        <w:rPr>
          <w:rFonts w:ascii="Arial" w:hAnsi="Arial" w:cs="Arial"/>
          <w:sz w:val="20"/>
          <w:szCs w:val="20"/>
        </w:rPr>
        <w:t>member Co., Ltd into a joint stock C</w:t>
      </w:r>
      <w:r w:rsidR="009E1744" w:rsidRPr="009E1744">
        <w:rPr>
          <w:rFonts w:ascii="Arial" w:hAnsi="Arial" w:cs="Arial"/>
          <w:sz w:val="20"/>
          <w:szCs w:val="20"/>
        </w:rPr>
        <w:t xml:space="preserve">ompany) but </w:t>
      </w:r>
      <w:r w:rsidR="00F86F7A">
        <w:rPr>
          <w:rFonts w:ascii="Arial" w:hAnsi="Arial" w:cs="Arial"/>
          <w:sz w:val="20"/>
          <w:szCs w:val="20"/>
        </w:rPr>
        <w:t>quit their</w:t>
      </w:r>
      <w:r w:rsidR="009E1744" w:rsidRPr="009E1744">
        <w:rPr>
          <w:rFonts w:ascii="Arial" w:hAnsi="Arial" w:cs="Arial"/>
          <w:sz w:val="20"/>
          <w:szCs w:val="20"/>
        </w:rPr>
        <w:t xml:space="preserve"> job before the committed deadline </w:t>
      </w:r>
    </w:p>
    <w:p w:rsidR="00F86F7A" w:rsidRDefault="00F86F7A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Capital source: Retained</w:t>
      </w:r>
      <w:r w:rsidR="009E1744" w:rsidRPr="009E1744">
        <w:rPr>
          <w:rFonts w:ascii="Arial" w:hAnsi="Arial" w:cs="Arial"/>
          <w:sz w:val="20"/>
          <w:szCs w:val="20"/>
        </w:rPr>
        <w:t xml:space="preserve"> after-tax profit </w:t>
      </w:r>
    </w:p>
    <w:p w:rsidR="00F86F7A" w:rsidRDefault="009E1744" w:rsidP="00F903A5">
      <w:pPr>
        <w:jc w:val="both"/>
        <w:rPr>
          <w:rFonts w:ascii="Arial" w:hAnsi="Arial" w:cs="Arial"/>
          <w:sz w:val="20"/>
          <w:szCs w:val="20"/>
        </w:rPr>
      </w:pPr>
      <w:r w:rsidRPr="009E1744">
        <w:rPr>
          <w:rFonts w:ascii="Arial" w:hAnsi="Arial" w:cs="Arial"/>
          <w:sz w:val="20"/>
          <w:szCs w:val="20"/>
        </w:rPr>
        <w:t xml:space="preserve">- Expected trading time: from March 1, 2020 to March 31, 2020 </w:t>
      </w:r>
    </w:p>
    <w:p w:rsidR="00F86F7A" w:rsidRDefault="009E1744" w:rsidP="00F903A5">
      <w:pPr>
        <w:jc w:val="both"/>
        <w:rPr>
          <w:rFonts w:ascii="Arial" w:hAnsi="Arial" w:cs="Arial"/>
          <w:sz w:val="20"/>
          <w:szCs w:val="20"/>
        </w:rPr>
      </w:pPr>
      <w:r w:rsidRPr="009E1744">
        <w:rPr>
          <w:rFonts w:ascii="Arial" w:hAnsi="Arial" w:cs="Arial"/>
          <w:sz w:val="20"/>
          <w:szCs w:val="20"/>
        </w:rPr>
        <w:t>- Transaction method: negotiable transactions</w:t>
      </w:r>
    </w:p>
    <w:p w:rsidR="00F86F7A" w:rsidRDefault="00F86F7A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Pricing</w:t>
      </w:r>
      <w:r w:rsidR="009E1744" w:rsidRPr="009E17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method</w:t>
      </w:r>
      <w:r w:rsidR="009E1744" w:rsidRPr="009E174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equal to the </w:t>
      </w:r>
      <w:r w:rsidR="009E1744" w:rsidRPr="009E1744">
        <w:rPr>
          <w:rFonts w:ascii="Arial" w:hAnsi="Arial" w:cs="Arial"/>
          <w:sz w:val="20"/>
          <w:szCs w:val="20"/>
        </w:rPr>
        <w:t xml:space="preserve">initial </w:t>
      </w:r>
      <w:r>
        <w:rPr>
          <w:rFonts w:ascii="Arial" w:hAnsi="Arial" w:cs="Arial"/>
          <w:sz w:val="20"/>
          <w:szCs w:val="20"/>
        </w:rPr>
        <w:t>price</w:t>
      </w:r>
      <w:r w:rsidR="009E1744" w:rsidRPr="009E1744">
        <w:rPr>
          <w:rFonts w:ascii="Arial" w:hAnsi="Arial" w:cs="Arial"/>
          <w:sz w:val="20"/>
          <w:szCs w:val="20"/>
        </w:rPr>
        <w:t xml:space="preserve"> sold to employees in the Company a</w:t>
      </w:r>
      <w:r>
        <w:rPr>
          <w:rFonts w:ascii="Arial" w:hAnsi="Arial" w:cs="Arial"/>
          <w:sz w:val="20"/>
          <w:szCs w:val="20"/>
        </w:rPr>
        <w:t xml:space="preserve">t the time of </w:t>
      </w:r>
      <w:proofErr w:type="spellStart"/>
      <w:r>
        <w:rPr>
          <w:rFonts w:ascii="Arial" w:hAnsi="Arial" w:cs="Arial"/>
          <w:sz w:val="20"/>
          <w:szCs w:val="20"/>
        </w:rPr>
        <w:t>equitization</w:t>
      </w:r>
      <w:proofErr w:type="spellEnd"/>
      <w:r w:rsidR="009E1744" w:rsidRPr="009E174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F86F7A" w:rsidRDefault="00F86F7A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Purchase price: 21,000 VND</w:t>
      </w:r>
      <w:r w:rsidR="009E1744" w:rsidRPr="009E1744">
        <w:rPr>
          <w:rFonts w:ascii="Arial" w:hAnsi="Arial" w:cs="Arial"/>
          <w:sz w:val="20"/>
          <w:szCs w:val="20"/>
        </w:rPr>
        <w:t>/ share, equal to the purchase pri</w:t>
      </w:r>
      <w:r>
        <w:rPr>
          <w:rFonts w:ascii="Arial" w:hAnsi="Arial" w:cs="Arial"/>
          <w:sz w:val="20"/>
          <w:szCs w:val="20"/>
        </w:rPr>
        <w:t xml:space="preserve">ce at the time of </w:t>
      </w:r>
      <w:proofErr w:type="spellStart"/>
      <w:r>
        <w:rPr>
          <w:rFonts w:ascii="Arial" w:hAnsi="Arial" w:cs="Arial"/>
          <w:sz w:val="20"/>
          <w:szCs w:val="20"/>
        </w:rPr>
        <w:t>equitisation</w:t>
      </w:r>
      <w:proofErr w:type="spellEnd"/>
    </w:p>
    <w:p w:rsidR="00F86F7A" w:rsidRDefault="009E1744" w:rsidP="00F903A5">
      <w:pPr>
        <w:jc w:val="both"/>
        <w:rPr>
          <w:rFonts w:ascii="Arial" w:hAnsi="Arial" w:cs="Arial"/>
          <w:sz w:val="20"/>
          <w:szCs w:val="20"/>
        </w:rPr>
      </w:pPr>
      <w:r w:rsidRPr="009E1744">
        <w:rPr>
          <w:rFonts w:ascii="Arial" w:hAnsi="Arial" w:cs="Arial"/>
          <w:sz w:val="20"/>
          <w:szCs w:val="20"/>
        </w:rPr>
        <w:t xml:space="preserve">- List of employees entitled to repurchase stocks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3360"/>
        <w:gridCol w:w="1914"/>
        <w:gridCol w:w="1914"/>
        <w:gridCol w:w="1915"/>
      </w:tblGrid>
      <w:tr w:rsidR="00F86F7A" w:rsidTr="00F86F7A">
        <w:tc>
          <w:tcPr>
            <w:tcW w:w="473" w:type="dxa"/>
          </w:tcPr>
          <w:p w:rsidR="00F86F7A" w:rsidRDefault="00F86F7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60" w:type="dxa"/>
          </w:tcPr>
          <w:p w:rsidR="00F86F7A" w:rsidRDefault="00F86F7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1914" w:type="dxa"/>
          </w:tcPr>
          <w:p w:rsidR="00F86F7A" w:rsidRDefault="00F86F7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shares</w:t>
            </w:r>
          </w:p>
        </w:tc>
        <w:tc>
          <w:tcPr>
            <w:tcW w:w="1914" w:type="dxa"/>
          </w:tcPr>
          <w:p w:rsidR="00F86F7A" w:rsidRDefault="00F86F7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Price (VND/ share)</w:t>
            </w:r>
          </w:p>
        </w:tc>
        <w:tc>
          <w:tcPr>
            <w:tcW w:w="1915" w:type="dxa"/>
          </w:tcPr>
          <w:p w:rsidR="00F86F7A" w:rsidRDefault="00F86F7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F86F7A" w:rsidTr="00F86F7A">
        <w:tc>
          <w:tcPr>
            <w:tcW w:w="473" w:type="dxa"/>
          </w:tcPr>
          <w:p w:rsidR="00F86F7A" w:rsidRDefault="00F86F7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0" w:type="dxa"/>
          </w:tcPr>
          <w:p w:rsidR="00F86F7A" w:rsidRDefault="00F86F7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174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9E17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174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9E1744">
              <w:rPr>
                <w:rFonts w:ascii="Arial" w:hAnsi="Arial" w:cs="Arial"/>
                <w:sz w:val="20"/>
                <w:szCs w:val="20"/>
              </w:rPr>
              <w:t xml:space="preserve"> Capstan</w:t>
            </w:r>
          </w:p>
        </w:tc>
        <w:tc>
          <w:tcPr>
            <w:tcW w:w="1914" w:type="dxa"/>
          </w:tcPr>
          <w:p w:rsidR="00F86F7A" w:rsidRDefault="00F86F7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914" w:type="dxa"/>
          </w:tcPr>
          <w:p w:rsidR="00F86F7A" w:rsidRDefault="00F86F7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21,000</w:t>
            </w:r>
          </w:p>
        </w:tc>
        <w:tc>
          <w:tcPr>
            <w:tcW w:w="1915" w:type="dxa"/>
          </w:tcPr>
          <w:p w:rsidR="00F86F7A" w:rsidRDefault="00F86F7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42,000,000</w:t>
            </w:r>
          </w:p>
        </w:tc>
      </w:tr>
      <w:tr w:rsidR="00F86F7A" w:rsidTr="00F86F7A">
        <w:tc>
          <w:tcPr>
            <w:tcW w:w="473" w:type="dxa"/>
          </w:tcPr>
          <w:p w:rsidR="00F86F7A" w:rsidRDefault="00F86F7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0" w:type="dxa"/>
          </w:tcPr>
          <w:p w:rsidR="00F86F7A" w:rsidRDefault="00F86F7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74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9E1744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 w:rsidRPr="009E17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1744">
              <w:rPr>
                <w:rFonts w:ascii="Arial" w:hAnsi="Arial" w:cs="Arial"/>
                <w:sz w:val="20"/>
                <w:szCs w:val="20"/>
              </w:rPr>
              <w:t>Liem</w:t>
            </w:r>
            <w:proofErr w:type="spellEnd"/>
          </w:p>
        </w:tc>
        <w:tc>
          <w:tcPr>
            <w:tcW w:w="1914" w:type="dxa"/>
          </w:tcPr>
          <w:p w:rsidR="00F86F7A" w:rsidRDefault="00F86F7A" w:rsidP="000B33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914" w:type="dxa"/>
          </w:tcPr>
          <w:p w:rsidR="00F86F7A" w:rsidRDefault="00F86F7A" w:rsidP="000B33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21,000</w:t>
            </w:r>
          </w:p>
        </w:tc>
        <w:tc>
          <w:tcPr>
            <w:tcW w:w="1915" w:type="dxa"/>
          </w:tcPr>
          <w:p w:rsidR="00F86F7A" w:rsidRDefault="00F86F7A" w:rsidP="000B33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42,000,000</w:t>
            </w:r>
          </w:p>
        </w:tc>
      </w:tr>
      <w:tr w:rsidR="00F86F7A" w:rsidTr="00F86F7A">
        <w:tc>
          <w:tcPr>
            <w:tcW w:w="473" w:type="dxa"/>
          </w:tcPr>
          <w:p w:rsidR="00F86F7A" w:rsidRDefault="00F86F7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60" w:type="dxa"/>
          </w:tcPr>
          <w:p w:rsidR="00F86F7A" w:rsidRDefault="00F86F7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744"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 w:rsidRPr="009E1744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 w:rsidRPr="009E17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174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</w:p>
        </w:tc>
        <w:tc>
          <w:tcPr>
            <w:tcW w:w="1914" w:type="dxa"/>
          </w:tcPr>
          <w:p w:rsidR="00F86F7A" w:rsidRDefault="00F86F7A" w:rsidP="000B33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914" w:type="dxa"/>
          </w:tcPr>
          <w:p w:rsidR="00F86F7A" w:rsidRDefault="00F86F7A" w:rsidP="000B33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21,000</w:t>
            </w:r>
          </w:p>
        </w:tc>
        <w:tc>
          <w:tcPr>
            <w:tcW w:w="1915" w:type="dxa"/>
          </w:tcPr>
          <w:p w:rsidR="00F86F7A" w:rsidRDefault="00F86F7A" w:rsidP="000B33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42,000,000</w:t>
            </w:r>
          </w:p>
        </w:tc>
      </w:tr>
      <w:tr w:rsidR="00F86F7A" w:rsidTr="00F86F7A">
        <w:tc>
          <w:tcPr>
            <w:tcW w:w="473" w:type="dxa"/>
          </w:tcPr>
          <w:p w:rsidR="00F86F7A" w:rsidRDefault="00F86F7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60" w:type="dxa"/>
          </w:tcPr>
          <w:p w:rsidR="00F86F7A" w:rsidRDefault="00F86F7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744">
              <w:rPr>
                <w:rFonts w:ascii="Arial" w:hAnsi="Arial" w:cs="Arial"/>
                <w:sz w:val="20"/>
                <w:szCs w:val="20"/>
              </w:rPr>
              <w:t xml:space="preserve">Vo Thu </w:t>
            </w:r>
            <w:proofErr w:type="spellStart"/>
            <w:r w:rsidRPr="009E1744">
              <w:rPr>
                <w:rFonts w:ascii="Arial" w:hAnsi="Arial" w:cs="Arial"/>
                <w:sz w:val="20"/>
                <w:szCs w:val="20"/>
              </w:rPr>
              <w:t>Thao</w:t>
            </w:r>
            <w:proofErr w:type="spellEnd"/>
          </w:p>
        </w:tc>
        <w:tc>
          <w:tcPr>
            <w:tcW w:w="1914" w:type="dxa"/>
          </w:tcPr>
          <w:p w:rsidR="00F86F7A" w:rsidRDefault="00F86F7A" w:rsidP="000B33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914" w:type="dxa"/>
          </w:tcPr>
          <w:p w:rsidR="00F86F7A" w:rsidRDefault="00F86F7A" w:rsidP="000B33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21,000</w:t>
            </w:r>
          </w:p>
        </w:tc>
        <w:tc>
          <w:tcPr>
            <w:tcW w:w="1915" w:type="dxa"/>
          </w:tcPr>
          <w:p w:rsidR="00F86F7A" w:rsidRDefault="00F86F7A" w:rsidP="000B33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42,000,000</w:t>
            </w:r>
          </w:p>
        </w:tc>
      </w:tr>
      <w:tr w:rsidR="00F86F7A" w:rsidTr="00F86F7A">
        <w:tc>
          <w:tcPr>
            <w:tcW w:w="473" w:type="dxa"/>
          </w:tcPr>
          <w:p w:rsidR="00F86F7A" w:rsidRDefault="00F86F7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</w:tcPr>
          <w:p w:rsidR="00F86F7A" w:rsidRDefault="00F86F7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914" w:type="dxa"/>
          </w:tcPr>
          <w:p w:rsidR="00F86F7A" w:rsidRDefault="00F86F7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8,000</w:t>
            </w:r>
          </w:p>
        </w:tc>
        <w:tc>
          <w:tcPr>
            <w:tcW w:w="1914" w:type="dxa"/>
          </w:tcPr>
          <w:p w:rsidR="00F86F7A" w:rsidRDefault="00F86F7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F86F7A" w:rsidRDefault="00F86F7A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168,000,000</w:t>
            </w:r>
          </w:p>
        </w:tc>
      </w:tr>
    </w:tbl>
    <w:p w:rsidR="00F86F7A" w:rsidRDefault="00F86F7A" w:rsidP="00F903A5">
      <w:pPr>
        <w:jc w:val="both"/>
        <w:rPr>
          <w:rFonts w:ascii="Arial" w:hAnsi="Arial" w:cs="Arial"/>
          <w:sz w:val="20"/>
          <w:szCs w:val="20"/>
        </w:rPr>
      </w:pPr>
    </w:p>
    <w:p w:rsidR="00BA1F12" w:rsidRDefault="00BA1F12" w:rsidP="00F903A5">
      <w:pPr>
        <w:jc w:val="both"/>
        <w:rPr>
          <w:rFonts w:ascii="Arial" w:hAnsi="Arial" w:cs="Arial"/>
          <w:sz w:val="20"/>
          <w:szCs w:val="20"/>
        </w:rPr>
      </w:pPr>
      <w:r w:rsidRPr="00BA1F12">
        <w:rPr>
          <w:rFonts w:ascii="Arial" w:hAnsi="Arial" w:cs="Arial"/>
          <w:sz w:val="20"/>
          <w:szCs w:val="20"/>
        </w:rPr>
        <w:t>Article 2: Assigning General Director to carry out procedures as</w:t>
      </w:r>
      <w:r>
        <w:rPr>
          <w:rFonts w:ascii="Arial" w:hAnsi="Arial" w:cs="Arial"/>
          <w:sz w:val="20"/>
          <w:szCs w:val="20"/>
        </w:rPr>
        <w:t xml:space="preserve"> prescribed</w:t>
      </w:r>
    </w:p>
    <w:p w:rsidR="003B73F7" w:rsidRDefault="00BA1F12" w:rsidP="00F903A5">
      <w:pPr>
        <w:jc w:val="both"/>
        <w:rPr>
          <w:rFonts w:ascii="Arial" w:hAnsi="Arial" w:cs="Arial"/>
          <w:sz w:val="20"/>
          <w:szCs w:val="20"/>
        </w:rPr>
      </w:pPr>
      <w:r w:rsidRPr="00BA1F12">
        <w:rPr>
          <w:rFonts w:ascii="Arial" w:hAnsi="Arial" w:cs="Arial"/>
          <w:sz w:val="20"/>
          <w:szCs w:val="20"/>
        </w:rPr>
        <w:t>Article 3: This Resolution takes e</w:t>
      </w:r>
      <w:r>
        <w:rPr>
          <w:rFonts w:ascii="Arial" w:hAnsi="Arial" w:cs="Arial"/>
          <w:sz w:val="20"/>
          <w:szCs w:val="20"/>
        </w:rPr>
        <w:t xml:space="preserve">ffect from the date of signing. </w:t>
      </w:r>
      <w:r w:rsidRPr="00BA1F12">
        <w:rPr>
          <w:rFonts w:ascii="Arial" w:hAnsi="Arial" w:cs="Arial"/>
          <w:sz w:val="20"/>
          <w:szCs w:val="20"/>
        </w:rPr>
        <w:t xml:space="preserve">Members of the Board of Directors, members of the Supervisory Board, the </w:t>
      </w:r>
      <w:r>
        <w:rPr>
          <w:rFonts w:ascii="Arial" w:hAnsi="Arial" w:cs="Arial"/>
          <w:sz w:val="20"/>
          <w:szCs w:val="20"/>
        </w:rPr>
        <w:t>Management Board</w:t>
      </w:r>
      <w:r w:rsidRPr="00BA1F12">
        <w:rPr>
          <w:rFonts w:ascii="Arial" w:hAnsi="Arial" w:cs="Arial"/>
          <w:sz w:val="20"/>
          <w:szCs w:val="20"/>
        </w:rPr>
        <w:t xml:space="preserve"> of the Company, the Office of the Board of Directors and related professional departments,</w:t>
      </w:r>
      <w:r>
        <w:rPr>
          <w:rFonts w:ascii="Arial" w:hAnsi="Arial" w:cs="Arial"/>
          <w:sz w:val="20"/>
          <w:szCs w:val="20"/>
        </w:rPr>
        <w:t xml:space="preserve"> </w:t>
      </w:r>
      <w:r w:rsidRPr="00BA1F12">
        <w:rPr>
          <w:rFonts w:ascii="Arial" w:hAnsi="Arial" w:cs="Arial"/>
          <w:sz w:val="20"/>
          <w:szCs w:val="20"/>
        </w:rPr>
        <w:t xml:space="preserve">individuals named </w:t>
      </w:r>
      <w:r>
        <w:rPr>
          <w:rFonts w:ascii="Arial" w:hAnsi="Arial" w:cs="Arial"/>
          <w:sz w:val="20"/>
          <w:szCs w:val="20"/>
        </w:rPr>
        <w:t xml:space="preserve">above are responsible for implementing this Board resolution </w:t>
      </w:r>
    </w:p>
    <w:sectPr w:rsidR="003B7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132EC5"/>
    <w:rsid w:val="002D53EE"/>
    <w:rsid w:val="002E7FD0"/>
    <w:rsid w:val="00327CF7"/>
    <w:rsid w:val="003B73F7"/>
    <w:rsid w:val="00467BC0"/>
    <w:rsid w:val="00496733"/>
    <w:rsid w:val="00503DD6"/>
    <w:rsid w:val="0058434E"/>
    <w:rsid w:val="005B40E5"/>
    <w:rsid w:val="006E15A6"/>
    <w:rsid w:val="00745D9A"/>
    <w:rsid w:val="007A1FCC"/>
    <w:rsid w:val="007B67AF"/>
    <w:rsid w:val="0084485C"/>
    <w:rsid w:val="008544C2"/>
    <w:rsid w:val="009E1744"/>
    <w:rsid w:val="00A128FC"/>
    <w:rsid w:val="00A63B6C"/>
    <w:rsid w:val="00AF67BE"/>
    <w:rsid w:val="00B70D7E"/>
    <w:rsid w:val="00BA1F12"/>
    <w:rsid w:val="00BA3FB7"/>
    <w:rsid w:val="00D52C2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25</cp:revision>
  <dcterms:created xsi:type="dcterms:W3CDTF">2019-10-16T10:03:00Z</dcterms:created>
  <dcterms:modified xsi:type="dcterms:W3CDTF">2020-03-14T09:23:00Z</dcterms:modified>
</cp:coreProperties>
</file>